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AG_REGIERUNGSRAT RRB Nr. 2012-001736 vom 19. Dezember 2012</w:t>
      </w:r>
    </w:p>
    <w:p>
      <w:r>
        <w:t>Ag Regierungsrat, 2012-12-19, DE</w:t>
      </w:r>
    </w:p>
    <w:p>
      <w:r>
        <w:rPr>
          <w:b/>
        </w:rPr>
        <w:t xml:space="preserve">Quelle: </w:t>
      </w:r>
      <w:r>
        <w:t>https://mcp.opencaselaw.ch/entscheid/ag_regierungsrat_RRB Nr. 2012-001736</w:t>
      </w:r>
    </w:p>
    <w:p>
      <w:r>
        <w:t>FR: AG_REGIERUNGSRAT RRB Nr. 2012-001736 du 19 décembre 2012</w:t>
      </w:r>
    </w:p>
    <w:p>
      <w:r>
        <w:t>IT: AG_REGIERUNGSRAT RRB Nr. 2012-001736 del 19 dicembre 2012</w:t>
      </w:r>
    </w:p>
    <w:p>
      <w:pPr>
        <w:pStyle w:val="Heading2"/>
      </w:pPr>
      <w:r>
        <w:t>Regeste</w:t>
      </w:r>
    </w:p>
    <w:p>
      <w:r>
        <w:t>Rückkommen auf einen Entscheid Abgrenzung von Wiedererwägung, Widerruf und Wiederaufnahme; zuständige Instanz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(…) Die Tatsache, dass J.S. kein Gesuch um Durchführung einer ak- zessorischen Normenkontrolle stellt, hindert den Regierungsrat nicht, die ihm von der Kantonsverfassung zugewiesene Aufgabe wahrzu- nehmen und damit im vorliegenden Fall vorgängig über die Recht- mässigkeit der umstrittenen Zuständigkeitsregelung zu befinden.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